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26AC3" w14:textId="1CE244DF" w:rsidR="00C65E74" w:rsidRDefault="00C65E74" w:rsidP="00B8372C">
      <w:pPr>
        <w:pStyle w:val="Titre"/>
        <w:spacing w:before="1200"/>
      </w:pPr>
      <w:r w:rsidRPr="00C65E74">
        <w:t xml:space="preserve">Points relatifs à l’accessibilité </w:t>
      </w:r>
      <w:r w:rsidRPr="00C65E74">
        <w:br/>
      </w:r>
      <w:r w:rsidRPr="00C65E74">
        <w:t xml:space="preserve">dans la déclaration du formateur </w:t>
      </w:r>
      <w:r w:rsidRPr="00C65E74">
        <w:br/>
      </w:r>
      <w:r w:rsidRPr="00C65E74">
        <w:t>du gouvernement fédéral</w:t>
      </w:r>
    </w:p>
    <w:p w14:paraId="406517D8" w14:textId="4C307F7A" w:rsidR="00C65E74" w:rsidRPr="00C65E74" w:rsidRDefault="00C65E74" w:rsidP="00B8372C">
      <w:pPr>
        <w:pStyle w:val="Sous-titre"/>
        <w:spacing w:before="1200"/>
      </w:pPr>
      <w:r>
        <w:t>Février 2025</w:t>
      </w:r>
    </w:p>
    <w:p w14:paraId="60CBFE62" w14:textId="45F135B1" w:rsidR="00654A72" w:rsidRDefault="00654A72">
      <w:pPr>
        <w:rPr>
          <w:sz w:val="28"/>
          <w:szCs w:val="28"/>
        </w:rPr>
      </w:pPr>
      <w:r>
        <w:rPr>
          <w:sz w:val="28"/>
          <w:szCs w:val="28"/>
        </w:rPr>
        <w:br w:type="page"/>
      </w:r>
    </w:p>
    <w:p w14:paraId="582A0AC3" w14:textId="749D956C" w:rsidR="0043492B" w:rsidRDefault="00A7731E">
      <w:hyperlink r:id="rId10" w:history="1">
        <w:r w:rsidR="0043492B" w:rsidRPr="06D86211">
          <w:rPr>
            <w:rStyle w:val="Lienhypertexte"/>
          </w:rPr>
          <w:t>https://img.static-rmg.be/a/pdf/6995456/accord-de-gouvernement-arizona-declaration-du-formateur-pdf.pdf</w:t>
        </w:r>
      </w:hyperlink>
    </w:p>
    <w:p w14:paraId="3BE4AB21" w14:textId="2BFF2C01" w:rsidR="06D86211" w:rsidRDefault="06D86211"/>
    <w:p w14:paraId="69DF0C32" w14:textId="5224DEEE" w:rsidR="06D86211" w:rsidRDefault="00A7731E">
      <w:hyperlink r:id="rId11">
        <w:r w:rsidR="2AD88626" w:rsidRPr="5D3F9DC3">
          <w:rPr>
            <w:rStyle w:val="Lienhypertexte"/>
          </w:rPr>
          <w:t>P72</w:t>
        </w:r>
      </w:hyperlink>
      <w:r w:rsidR="2AD88626">
        <w:t xml:space="preserve"> </w:t>
      </w:r>
      <w:r w:rsidR="2AD88626" w:rsidRPr="00680083">
        <w:rPr>
          <w:rStyle w:val="Titre1Car"/>
        </w:rPr>
        <w:t>SUBVENTIONS</w:t>
      </w:r>
    </w:p>
    <w:p w14:paraId="4E16D232" w14:textId="3A55DF33" w:rsidR="2AD88626" w:rsidRDefault="2AD88626">
      <w:r>
        <w:t xml:space="preserve">Dans ses contacts avec les citoyens, l’autorité fédérale donne l’exemple en utilisant un langage simple et clair. Le premier souci du </w:t>
      </w:r>
      <w:r w:rsidRPr="5D3F9DC3">
        <w:rPr>
          <w:highlight w:val="yellow"/>
        </w:rPr>
        <w:t>gouvernement sera d’utiliser dans tous les textes qui relèvent de sa compétence un langage compréhensible de tous et</w:t>
      </w:r>
      <w:r>
        <w:t xml:space="preserve"> </w:t>
      </w:r>
      <w:r w:rsidRPr="5D3F9DC3">
        <w:rPr>
          <w:highlight w:val="yellow"/>
        </w:rPr>
        <w:t>qui respecte les règles d’accessibilité.</w:t>
      </w:r>
      <w:r>
        <w:t xml:space="preserve"> </w:t>
      </w:r>
    </w:p>
    <w:p w14:paraId="352CFE78" w14:textId="6D2085FD" w:rsidR="2AD88626" w:rsidRDefault="2AD88626">
      <w:r>
        <w:t xml:space="preserve">• Cette uniformité doit également s’étendre aux applications mobiles et aux </w:t>
      </w:r>
      <w:proofErr w:type="spellStart"/>
      <w:r>
        <w:t>chatbots</w:t>
      </w:r>
      <w:proofErr w:type="spellEnd"/>
      <w:r>
        <w:t xml:space="preserve"> de l’IA. Le SPF BOSA élaborera une stratégie et une approche qui regroupent autant de services et d’applications pertinentes que possible par groupe cible et par cohérence logique pour les citoyens et les entreprises. Dans ce cadre, </w:t>
      </w:r>
      <w:r w:rsidRPr="5D3F9DC3">
        <w:rPr>
          <w:highlight w:val="yellow"/>
        </w:rPr>
        <w:t>nous garantissons toujours l’accès à tous, y compris aux personnes handicapées, ainsi que la possibilité de bénéficier d’un service personnalisé grâce à un contact direct avec les agents</w:t>
      </w:r>
      <w:r>
        <w:t>.</w:t>
      </w:r>
    </w:p>
    <w:p w14:paraId="1357FBD4" w14:textId="11A4E2D3" w:rsidR="5D3F9DC3" w:rsidRDefault="5D3F9DC3"/>
    <w:p w14:paraId="3D56E344" w14:textId="726BDA00" w:rsidR="140D8B43" w:rsidRDefault="00A7731E" w:rsidP="5D3F9DC3">
      <w:hyperlink r:id="rId12">
        <w:r w:rsidR="140D8B43" w:rsidRPr="5D3F9DC3">
          <w:rPr>
            <w:rStyle w:val="Lienhypertexte"/>
          </w:rPr>
          <w:t>P7</w:t>
        </w:r>
        <w:r w:rsidR="352B1ABA" w:rsidRPr="5D3F9DC3">
          <w:rPr>
            <w:rStyle w:val="Lienhypertexte"/>
          </w:rPr>
          <w:t>6</w:t>
        </w:r>
      </w:hyperlink>
      <w:r w:rsidR="140D8B43">
        <w:t xml:space="preserve"> </w:t>
      </w:r>
      <w:r w:rsidR="140D8B43" w:rsidRPr="5D3F9DC3">
        <w:rPr>
          <w:rFonts w:ascii="Aptos" w:eastAsia="Aptos" w:hAnsi="Aptos" w:cs="Aptos"/>
          <w:b/>
          <w:bCs/>
        </w:rPr>
        <w:t xml:space="preserve">RÉGIE DES </w:t>
      </w:r>
      <w:r w:rsidR="140D8B43" w:rsidRPr="00680083">
        <w:rPr>
          <w:rStyle w:val="Titre1Car"/>
        </w:rPr>
        <w:t>BÂTIMENTS</w:t>
      </w:r>
    </w:p>
    <w:p w14:paraId="1B4C0CAE" w14:textId="65EDAD19" w:rsidR="3CBEA27F" w:rsidRDefault="3CBEA27F" w:rsidP="5D3F9DC3">
      <w:r w:rsidRPr="5D3F9DC3">
        <w:rPr>
          <w:rFonts w:ascii="Aptos" w:eastAsia="Aptos" w:hAnsi="Aptos" w:cs="Aptos"/>
        </w:rPr>
        <w:t xml:space="preserve">• Nous intensifions également les efforts visant à </w:t>
      </w:r>
      <w:r w:rsidRPr="5D3F9DC3">
        <w:rPr>
          <w:rFonts w:ascii="Aptos" w:eastAsia="Aptos" w:hAnsi="Aptos" w:cs="Aptos"/>
          <w:highlight w:val="yellow"/>
        </w:rPr>
        <w:t>garantir l’accessibilité des bâtiments de la Régie pour les personnes handicapées</w:t>
      </w:r>
      <w:r w:rsidRPr="5D3F9DC3">
        <w:rPr>
          <w:rFonts w:ascii="Aptos" w:eastAsia="Aptos" w:hAnsi="Aptos" w:cs="Aptos"/>
        </w:rPr>
        <w:t>.</w:t>
      </w:r>
    </w:p>
    <w:p w14:paraId="3E613E6F" w14:textId="1DD888EF" w:rsidR="5D3F9DC3" w:rsidRDefault="5D3F9DC3"/>
    <w:p w14:paraId="7411A805" w14:textId="3E64DC9C" w:rsidR="0043492B" w:rsidRDefault="00A7731E">
      <w:hyperlink r:id="rId13" w:anchor="page=77">
        <w:r w:rsidR="00CE055B" w:rsidRPr="5D3F9DC3">
          <w:rPr>
            <w:rStyle w:val="Lienhypertexte"/>
          </w:rPr>
          <w:t>P77</w:t>
        </w:r>
      </w:hyperlink>
      <w:r w:rsidR="0043492B">
        <w:t xml:space="preserve"> - </w:t>
      </w:r>
      <w:r w:rsidR="00CE055B" w:rsidRPr="5D3F9DC3">
        <w:rPr>
          <w:b/>
          <w:bCs/>
        </w:rPr>
        <w:t xml:space="preserve">ÉLECTIONS </w:t>
      </w:r>
    </w:p>
    <w:p w14:paraId="5CD900BC" w14:textId="6467C82B" w:rsidR="00CE055B" w:rsidRDefault="00CE055B" w:rsidP="5D3F9DC3">
      <w:pPr>
        <w:rPr>
          <w:highlight w:val="yellow"/>
        </w:rPr>
      </w:pPr>
      <w:r>
        <w:t xml:space="preserve">• Le gouvernement entamera prochainement des discussions en vue de prendre une décision sur le(s) mode(s) de vote qui seront utilisés lors des prochaines élections. À l’heure actuelle, la Belgique se caractérise par une combinaison de votes sur papier et de votes électroniques via des ordinateurs hors ligne. Dans la mesure où le contrat cadre pour les services et les livraisons dans le cadre du vote électronique prend fin en janvier 2027 et que les équipements sont obsolètes, il convient de procéder à une évaluation. </w:t>
      </w:r>
      <w:r w:rsidRPr="5D3F9DC3">
        <w:rPr>
          <w:highlight w:val="yellow"/>
        </w:rPr>
        <w:t>Des variantes des différentes méthodes en termes d’accessibilité pourraient être étudiées au cours du processus ; par exemple, différentes modes de vote pour les aveugles et les malvoyants, par lettre, par voie électronique ou sur papier.</w:t>
      </w:r>
    </w:p>
    <w:p w14:paraId="04CA3966" w14:textId="77777777" w:rsidR="0043492B" w:rsidRDefault="00CE055B">
      <w:r w:rsidRPr="00CE055B">
        <w:t xml:space="preserve">Les communes et les entités fédérées, responsables de l’organisation des élections locales seront impliquées dans les discussions. </w:t>
      </w:r>
    </w:p>
    <w:p w14:paraId="538F28B9" w14:textId="5967F90C" w:rsidR="00CE055B" w:rsidRDefault="00CE055B">
      <w:r>
        <w:t>• Nous développerons une stratégie pour les futurs modes de vote dans notre pays (qu’il s’agisse du vote électronique au sens large ou des votes sur papier avec ou sans recours à la technologie) avec l’aide de différents acteurs : l’autorité fédérale, les entités fédérées, les communes, les universitaires issus de différentes disciplines comme les sciences politiques, l’informatique et la cybersécurité, le droit et la psychologie.</w:t>
      </w:r>
    </w:p>
    <w:p w14:paraId="3FE9AF66" w14:textId="77777777" w:rsidR="00654A72" w:rsidRDefault="00654A72">
      <w:r>
        <w:br w:type="page"/>
      </w:r>
    </w:p>
    <w:p w14:paraId="7B3D3BDD" w14:textId="5C7998D9" w:rsidR="0043492B" w:rsidRDefault="00A7731E" w:rsidP="5D3F9DC3">
      <w:pPr>
        <w:rPr>
          <w:rFonts w:ascii="Aptos" w:eastAsia="Aptos" w:hAnsi="Aptos" w:cs="Aptos"/>
          <w:b/>
          <w:bCs/>
        </w:rPr>
      </w:pPr>
      <w:hyperlink r:id="rId14" w:anchor="page=85">
        <w:r w:rsidR="00CE055B" w:rsidRPr="5D3F9DC3">
          <w:rPr>
            <w:rStyle w:val="Lienhypertexte"/>
          </w:rPr>
          <w:t>P85</w:t>
        </w:r>
      </w:hyperlink>
      <w:r w:rsidR="0043492B">
        <w:t xml:space="preserve"> </w:t>
      </w:r>
      <w:r w:rsidR="22A6243D" w:rsidRPr="5D3F9DC3">
        <w:rPr>
          <w:rFonts w:ascii="Aptos" w:eastAsia="Aptos" w:hAnsi="Aptos" w:cs="Aptos"/>
          <w:b/>
          <w:bCs/>
        </w:rPr>
        <w:t>PROTECTION ET AIDE SOCIALE POUR CEUX QUI EN ONT BESOIN</w:t>
      </w:r>
    </w:p>
    <w:p w14:paraId="505E49ED" w14:textId="5711B387" w:rsidR="0043492B" w:rsidRDefault="22A6243D" w:rsidP="5D3F9DC3">
      <w:r w:rsidRPr="5D3F9DC3">
        <w:rPr>
          <w:rFonts w:ascii="Aptos" w:eastAsia="Aptos" w:hAnsi="Aptos" w:cs="Aptos"/>
        </w:rPr>
        <w:t xml:space="preserve">• Notre société se numérise de plus en plus rapidement. Cependant, certaines personnes, notamment les personnes vulnérables telles que les personnes âgées et les personnes handicapées, ne suivent pas le rythme de cette numérisation et risquent donc de ne pas recevoir l’aide nécessaire. </w:t>
      </w:r>
      <w:r w:rsidRPr="5D3F9DC3">
        <w:rPr>
          <w:rFonts w:ascii="Aptos" w:eastAsia="Aptos" w:hAnsi="Aptos" w:cs="Aptos"/>
          <w:highlight w:val="yellow"/>
        </w:rPr>
        <w:t>Les services publics doivent également rester garantis et accessibles physiquement et téléphoniquement, même en présence de services numériques. Les services publics doivent organiser des permanences et être en mesure de parler aux citoyens sur rendez-vous au moins une fois par semaine.</w:t>
      </w:r>
      <w:r w:rsidRPr="5D3F9DC3">
        <w:rPr>
          <w:rFonts w:ascii="Aptos" w:eastAsia="Aptos" w:hAnsi="Aptos" w:cs="Aptos"/>
        </w:rPr>
        <w:t xml:space="preserve">  Le gouvernement veille à ce que l’inclusion numérique occupe dès le départ une place centrale, depuis le développement jusqu’aux adaptations ultérieures des services et produits numériques de l’autorité fédérale. Il encourage également les services essentiels à adopter le principe de « l’inclusion dès la conception »</w:t>
      </w:r>
    </w:p>
    <w:p w14:paraId="1B791AAE" w14:textId="7B8964D0" w:rsidR="0043492B" w:rsidRDefault="0043492B" w:rsidP="5D3F9DC3">
      <w:pPr>
        <w:rPr>
          <w:rFonts w:ascii="Aptos" w:eastAsia="Aptos" w:hAnsi="Aptos" w:cs="Aptos"/>
        </w:rPr>
      </w:pPr>
    </w:p>
    <w:p w14:paraId="2B1B51C3" w14:textId="71D7C198" w:rsidR="0043492B" w:rsidRDefault="00A7731E" w:rsidP="5D3F9DC3">
      <w:pPr>
        <w:rPr>
          <w:rFonts w:ascii="Aptos" w:eastAsia="Aptos" w:hAnsi="Aptos" w:cs="Aptos"/>
          <w:b/>
          <w:bCs/>
        </w:rPr>
      </w:pPr>
      <w:hyperlink r:id="rId15">
        <w:r w:rsidR="22A6243D" w:rsidRPr="5D3F9DC3">
          <w:rPr>
            <w:rStyle w:val="Lienhypertexte"/>
            <w:rFonts w:ascii="Aptos" w:eastAsia="Aptos" w:hAnsi="Aptos" w:cs="Aptos"/>
          </w:rPr>
          <w:t>P87</w:t>
        </w:r>
      </w:hyperlink>
      <w:r w:rsidR="22A6243D" w:rsidRPr="5D3F9DC3">
        <w:rPr>
          <w:rFonts w:ascii="Aptos" w:eastAsia="Aptos" w:hAnsi="Aptos" w:cs="Aptos"/>
        </w:rPr>
        <w:t xml:space="preserve"> </w:t>
      </w:r>
      <w:r w:rsidR="22A6243D" w:rsidRPr="5D3F9DC3">
        <w:rPr>
          <w:rFonts w:ascii="Aptos" w:eastAsia="Aptos" w:hAnsi="Aptos" w:cs="Aptos"/>
          <w:b/>
          <w:bCs/>
        </w:rPr>
        <w:t>ÉGALITÉ ET NEUTRALITÉ</w:t>
      </w:r>
    </w:p>
    <w:p w14:paraId="5CA9DB9F" w14:textId="2E0E2DFB" w:rsidR="0043492B" w:rsidRDefault="22A6243D" w:rsidP="5D3F9DC3">
      <w:r w:rsidRPr="5D3F9DC3">
        <w:rPr>
          <w:rFonts w:ascii="Aptos" w:eastAsia="Aptos" w:hAnsi="Aptos" w:cs="Aptos"/>
        </w:rPr>
        <w:t xml:space="preserve">• Nous continuons à investir dans une société inclusive, où aucune distinction n’est faite en fonction du sexe, de l’orientation sexuelles, de la religion, de l’origine de l’âge, du handicap ou de tout autre critère protégé par la loi et où la citoyenneté partagée constitue un élément central. Nous garantissons l’égalité des droits pour tous, sans discrimination.   </w:t>
      </w:r>
    </w:p>
    <w:p w14:paraId="1F634307" w14:textId="71C7BE95" w:rsidR="0043492B" w:rsidRDefault="22A6243D" w:rsidP="5D3F9DC3">
      <w:r w:rsidRPr="5D3F9DC3">
        <w:rPr>
          <w:rFonts w:ascii="Aptos" w:eastAsia="Aptos" w:hAnsi="Aptos" w:cs="Aptos"/>
        </w:rPr>
        <w:t xml:space="preserve">• Les autorités fédérales, tout en tenant compte des directives européennes, mènent une politique du personnel proactive et axée sur les compétences, où la règle est « la meilleure personne à la meilleure place ». Le secteur public doit donner l’exemple en ce qui concerne les personnes avec un handicap : </w:t>
      </w:r>
      <w:r w:rsidRPr="5D3F9DC3">
        <w:rPr>
          <w:rFonts w:ascii="Aptos" w:eastAsia="Aptos" w:hAnsi="Aptos" w:cs="Aptos"/>
          <w:highlight w:val="yellow"/>
        </w:rPr>
        <w:t>nous appliquons des sanctions lorsque les objectifs fixés ne sont pas atteints de manière structurelle</w:t>
      </w:r>
      <w:r w:rsidR="2A231ACF" w:rsidRPr="5D3F9DC3">
        <w:rPr>
          <w:rFonts w:ascii="Aptos" w:eastAsia="Aptos" w:hAnsi="Aptos" w:cs="Aptos"/>
          <w:highlight w:val="yellow"/>
        </w:rPr>
        <w:t>.</w:t>
      </w:r>
    </w:p>
    <w:p w14:paraId="0D4EB77C" w14:textId="0621CBE5" w:rsidR="0043492B" w:rsidRDefault="0043492B" w:rsidP="5D3F9DC3">
      <w:pPr>
        <w:rPr>
          <w:rFonts w:ascii="Aptos" w:eastAsia="Aptos" w:hAnsi="Aptos" w:cs="Aptos"/>
        </w:rPr>
      </w:pPr>
    </w:p>
    <w:p w14:paraId="49582799" w14:textId="02F51AFF" w:rsidR="0043492B" w:rsidRDefault="00A7731E" w:rsidP="5D3F9DC3">
      <w:pPr>
        <w:rPr>
          <w:b/>
          <w:bCs/>
        </w:rPr>
      </w:pPr>
      <w:hyperlink r:id="rId16">
        <w:r w:rsidR="55FE1077" w:rsidRPr="5D3F9DC3">
          <w:rPr>
            <w:rStyle w:val="Lienhypertexte"/>
          </w:rPr>
          <w:t>P88</w:t>
        </w:r>
      </w:hyperlink>
      <w:r w:rsidR="55FE1077">
        <w:t xml:space="preserve"> </w:t>
      </w:r>
      <w:r w:rsidR="00CE055B" w:rsidRPr="5D3F9DC3">
        <w:rPr>
          <w:b/>
          <w:bCs/>
        </w:rPr>
        <w:t xml:space="preserve">PERSONNES PORTEUSES D’UN HANDICAP </w:t>
      </w:r>
    </w:p>
    <w:p w14:paraId="317E40DB" w14:textId="568F0FA6" w:rsidR="0043492B" w:rsidRDefault="00CE055B">
      <w:r>
        <w:t xml:space="preserve">• </w:t>
      </w:r>
      <w:r w:rsidRPr="5D3F9DC3">
        <w:rPr>
          <w:highlight w:val="yellow"/>
        </w:rPr>
        <w:t>Notre pays doit être accessible aux personnes handicapées pour qu’elles puissent véritablement participer à la vie dans notre société. Cela va au-delà de la simple accessibilité physique (bâtiments et services publics fédéraux, transports publics, etc.). Nous développons également des services plus accessibles</w:t>
      </w:r>
      <w:r>
        <w:t xml:space="preserve"> et orientés vers le client, ainsi qu’à un </w:t>
      </w:r>
      <w:r w:rsidRPr="5D3F9DC3">
        <w:rPr>
          <w:highlight w:val="yellow"/>
        </w:rPr>
        <w:t>marché du travail</w:t>
      </w:r>
      <w:r>
        <w:t xml:space="preserve"> qui offrent des opportunités aux personnes handicapées. En tant que pouvoirs publics, nous jouons un rôle exemplaire dans ce domaine </w:t>
      </w:r>
      <w:r w:rsidRPr="5D3F9DC3">
        <w:rPr>
          <w:highlight w:val="yellow"/>
        </w:rPr>
        <w:t>en rendant nos services, tant physiques que téléphoniques ou numériques, accessibles</w:t>
      </w:r>
      <w:r>
        <w:t xml:space="preserve"> et en supprimant les barrières (parfois littérales) qui entravent la participation.  </w:t>
      </w:r>
      <w:r w:rsidRPr="5D3F9DC3">
        <w:rPr>
          <w:highlight w:val="yellow"/>
        </w:rPr>
        <w:t>Les autorités fédérales doivent avoir l›ambition de rendre tous leurs bâtiments accessibles et cherchent notamment des solutions rapides à cette fin. Nous le faisons également pour les nouveaux bâtiments en suivant les principes de la Conception Universelle</w:t>
      </w:r>
      <w:r>
        <w:t xml:space="preserve">. Nous défendons des pouvoirs publics à taille humaine où le citoyen occupe la place centrale.  </w:t>
      </w:r>
    </w:p>
    <w:p w14:paraId="1159120B" w14:textId="77777777" w:rsidR="0043492B" w:rsidRDefault="00CE055B">
      <w:r w:rsidRPr="00CE055B">
        <w:t xml:space="preserve">• La </w:t>
      </w:r>
      <w:proofErr w:type="spellStart"/>
      <w:r w:rsidRPr="00CE055B">
        <w:t>European</w:t>
      </w:r>
      <w:proofErr w:type="spellEnd"/>
      <w:r w:rsidRPr="00CE055B">
        <w:t xml:space="preserve"> </w:t>
      </w:r>
      <w:proofErr w:type="spellStart"/>
      <w:r w:rsidRPr="00CE055B">
        <w:t>Disability</w:t>
      </w:r>
      <w:proofErr w:type="spellEnd"/>
      <w:r w:rsidRPr="00CE055B">
        <w:t xml:space="preserve"> </w:t>
      </w:r>
      <w:proofErr w:type="spellStart"/>
      <w:r w:rsidRPr="00CE055B">
        <w:t>Card</w:t>
      </w:r>
      <w:proofErr w:type="spellEnd"/>
      <w:r w:rsidRPr="00CE055B">
        <w:t xml:space="preserve"> est un exemple d’instruments que nous mettons en avant pour parvenir à une plus grande inclusion par le biais de la sensibilisation.   </w:t>
      </w:r>
    </w:p>
    <w:p w14:paraId="60D29E78" w14:textId="77777777" w:rsidR="0043492B" w:rsidRDefault="00CE055B">
      <w:r>
        <w:t xml:space="preserve">• Nous continuons à </w:t>
      </w:r>
      <w:r w:rsidRPr="5D3F9DC3">
        <w:rPr>
          <w:highlight w:val="yellow"/>
        </w:rPr>
        <w:t>améliorer l’accessibilité des transports publics pour tous et l’accessibilité des infrastructures (gares, quais, véhicules)</w:t>
      </w:r>
      <w:r>
        <w:t xml:space="preserve">. En l’occurrence, nous donnons la </w:t>
      </w:r>
      <w:r w:rsidRPr="5D3F9DC3">
        <w:rPr>
          <w:highlight w:val="yellow"/>
        </w:rPr>
        <w:t>priorité dans la mise en œuvre aux grandes gares, qui touchent le plus grand nombre de personnes à mobilité réduite ou porteuse d’un handicap</w:t>
      </w:r>
      <w:r>
        <w:t xml:space="preserve">. Une bonne coopération avec les parties prenantes est donc </w:t>
      </w:r>
      <w:r>
        <w:lastRenderedPageBreak/>
        <w:t xml:space="preserve">également essentielle pour éliminer les obstacles qui entravent la pleine participation à la société.  </w:t>
      </w:r>
    </w:p>
    <w:p w14:paraId="17DE3B2A" w14:textId="2115EA84" w:rsidR="00901E61" w:rsidRDefault="00CE055B">
      <w:r>
        <w:t xml:space="preserve">• </w:t>
      </w:r>
      <w:r w:rsidRPr="5D3F9DC3">
        <w:rPr>
          <w:highlight w:val="yellow"/>
        </w:rPr>
        <w:t>Un test d’accessibilité est appliqué aux événements de masse.</w:t>
      </w:r>
      <w:r>
        <w:t xml:space="preserve"> </w:t>
      </w:r>
      <w:r w:rsidRPr="5D3F9DC3">
        <w:rPr>
          <w:highlight w:val="yellow"/>
        </w:rPr>
        <w:t>Nous évaluons les différents plans de crise et d’intervention en fonction des personnes handicapées. Les besoins et exigences spécifiques des personnes handicapées ne doivent pas être oubliés lors d’événements exceptionnels tels que des catastrophes naturelles ou des attaques terroristes</w:t>
      </w:r>
      <w:r>
        <w:t>.</w:t>
      </w:r>
    </w:p>
    <w:p w14:paraId="1440DA04" w14:textId="77777777" w:rsidR="00CE055B" w:rsidRDefault="00CE055B"/>
    <w:p w14:paraId="3640038A" w14:textId="0AB3999C" w:rsidR="00CE055B" w:rsidRDefault="00A7731E">
      <w:hyperlink r:id="rId17">
        <w:r w:rsidR="00CE055B" w:rsidRPr="5D3F9DC3">
          <w:rPr>
            <w:rStyle w:val="Lienhypertexte"/>
          </w:rPr>
          <w:t>P1</w:t>
        </w:r>
        <w:r w:rsidR="58799569" w:rsidRPr="5D3F9DC3">
          <w:rPr>
            <w:rStyle w:val="Lienhypertexte"/>
          </w:rPr>
          <w:t>10</w:t>
        </w:r>
        <w:r w:rsidR="0043492B" w:rsidRPr="5D3F9DC3">
          <w:rPr>
            <w:rStyle w:val="Lienhypertexte"/>
          </w:rPr>
          <w:t xml:space="preserve"> – </w:t>
        </w:r>
        <w:r w:rsidR="0043492B" w:rsidRPr="5D3F9DC3">
          <w:rPr>
            <w:rStyle w:val="Lienhypertexte"/>
            <w:b/>
            <w:bCs/>
            <w:color w:val="auto"/>
          </w:rPr>
          <w:t>Transport ferroviaire</w:t>
        </w:r>
      </w:hyperlink>
    </w:p>
    <w:p w14:paraId="04EAF6FD" w14:textId="5DF22510" w:rsidR="00CE055B" w:rsidRDefault="00CE055B">
      <w:r w:rsidRPr="5D3F9DC3">
        <w:rPr>
          <w:highlight w:val="yellow"/>
        </w:rPr>
        <w:t>Les transports publics</w:t>
      </w:r>
      <w:r>
        <w:t xml:space="preserve"> sont la propriété de tous et </w:t>
      </w:r>
      <w:r w:rsidRPr="5D3F9DC3">
        <w:rPr>
          <w:highlight w:val="yellow"/>
        </w:rPr>
        <w:t>doivent être accessibles à tous. En particulier pour les personnes à mobilité réduite. Nous continuons donc à promouvoir l’accessibilité des transports publics (gares, quais, véhicules)</w:t>
      </w:r>
      <w:r>
        <w:t xml:space="preserve">.  En l’occurrence, nous donnons la priorité aux gares qui touchent le plus grand nombre de personnes à mobilité réduite. Nous analysons avec la SNCB dans quelles gares qui ne sont pas totalement accessibles de manière autonome, il serait </w:t>
      </w:r>
      <w:r w:rsidRPr="5D3F9DC3">
        <w:rPr>
          <w:highlight w:val="yellow"/>
        </w:rPr>
        <w:t>possible et utile de réduire le délai de réservation</w:t>
      </w:r>
      <w:r>
        <w:t>.</w:t>
      </w:r>
    </w:p>
    <w:sectPr w:rsidR="00CE055B" w:rsidSect="00BF0E5A">
      <w:headerReference w:type="default" r:id="rId18"/>
      <w:headerReference w:type="first" r:id="rId1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46AE0" w14:textId="77777777" w:rsidR="00975938" w:rsidRDefault="00975938" w:rsidP="00975938">
      <w:pPr>
        <w:spacing w:after="0" w:line="240" w:lineRule="auto"/>
      </w:pPr>
      <w:r>
        <w:separator/>
      </w:r>
    </w:p>
  </w:endnote>
  <w:endnote w:type="continuationSeparator" w:id="0">
    <w:p w14:paraId="4AD2CA48" w14:textId="77777777" w:rsidR="00975938" w:rsidRDefault="00975938" w:rsidP="00975938">
      <w:pPr>
        <w:spacing w:after="0" w:line="240" w:lineRule="auto"/>
      </w:pPr>
      <w:r>
        <w:continuationSeparator/>
      </w:r>
    </w:p>
  </w:endnote>
  <w:endnote w:type="continuationNotice" w:id="1">
    <w:p w14:paraId="6EA10E5F" w14:textId="77777777" w:rsidR="00BF0E5A" w:rsidRDefault="00BF0E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85F32" w14:textId="77777777" w:rsidR="00975938" w:rsidRDefault="00975938" w:rsidP="00975938">
      <w:pPr>
        <w:spacing w:after="0" w:line="240" w:lineRule="auto"/>
      </w:pPr>
      <w:r>
        <w:separator/>
      </w:r>
    </w:p>
  </w:footnote>
  <w:footnote w:type="continuationSeparator" w:id="0">
    <w:p w14:paraId="10C7F184" w14:textId="77777777" w:rsidR="00975938" w:rsidRDefault="00975938" w:rsidP="00975938">
      <w:pPr>
        <w:spacing w:after="0" w:line="240" w:lineRule="auto"/>
      </w:pPr>
      <w:r>
        <w:continuationSeparator/>
      </w:r>
    </w:p>
  </w:footnote>
  <w:footnote w:type="continuationNotice" w:id="1">
    <w:p w14:paraId="0B3606F3" w14:textId="77777777" w:rsidR="00BF0E5A" w:rsidRDefault="00BF0E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714A2" w14:textId="1D14C7F3" w:rsidR="00975938" w:rsidRDefault="00975938">
    <w:pPr>
      <w:pStyle w:val="En-tte"/>
    </w:pPr>
  </w:p>
  <w:p w14:paraId="6FF39F8A" w14:textId="5A480B29" w:rsidR="00975938" w:rsidRDefault="0097593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E2944" w14:textId="18E0FE56" w:rsidR="00BF0E5A" w:rsidRDefault="00BF0E5A">
    <w:pPr>
      <w:pStyle w:val="En-tte"/>
    </w:pPr>
    <w:r>
      <w:rPr>
        <w:noProof/>
      </w:rPr>
      <w:drawing>
        <wp:anchor distT="0" distB="0" distL="114300" distR="114300" simplePos="0" relativeHeight="251656704" behindDoc="0" locked="0" layoutInCell="1" allowOverlap="1" wp14:anchorId="0A89E5F0" wp14:editId="173119B5">
          <wp:simplePos x="0" y="0"/>
          <wp:positionH relativeFrom="margin">
            <wp:align>center</wp:align>
          </wp:positionH>
          <wp:positionV relativeFrom="paragraph">
            <wp:posOffset>139065</wp:posOffset>
          </wp:positionV>
          <wp:extent cx="4296410" cy="1809750"/>
          <wp:effectExtent l="0" t="0" r="8890" b="0"/>
          <wp:wrapSquare wrapText="bothSides"/>
          <wp:docPr id="83191513" name="Image 83191513" title="Logo du CAWaB"/>
          <wp:cNvGraphicFramePr/>
          <a:graphic xmlns:a="http://schemas.openxmlformats.org/drawingml/2006/main">
            <a:graphicData uri="http://schemas.openxmlformats.org/drawingml/2006/picture">
              <pic:pic xmlns:pic="http://schemas.openxmlformats.org/drawingml/2006/picture">
                <pic:nvPicPr>
                  <pic:cNvPr id="4" name="Image 4" title="Logo du CAWaB"/>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96410" cy="1809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55B"/>
    <w:rsid w:val="00046B0D"/>
    <w:rsid w:val="00046DA6"/>
    <w:rsid w:val="00063098"/>
    <w:rsid w:val="001304BF"/>
    <w:rsid w:val="001B6966"/>
    <w:rsid w:val="00263388"/>
    <w:rsid w:val="0043492B"/>
    <w:rsid w:val="004F79D4"/>
    <w:rsid w:val="005104B5"/>
    <w:rsid w:val="005A23AD"/>
    <w:rsid w:val="00654A72"/>
    <w:rsid w:val="00680083"/>
    <w:rsid w:val="006E6EFD"/>
    <w:rsid w:val="007531E1"/>
    <w:rsid w:val="0078220E"/>
    <w:rsid w:val="00901E61"/>
    <w:rsid w:val="00975938"/>
    <w:rsid w:val="00A621A7"/>
    <w:rsid w:val="00AC0576"/>
    <w:rsid w:val="00AF19D1"/>
    <w:rsid w:val="00B8372C"/>
    <w:rsid w:val="00BF0E5A"/>
    <w:rsid w:val="00C65E74"/>
    <w:rsid w:val="00CE055B"/>
    <w:rsid w:val="00D27721"/>
    <w:rsid w:val="01A461BC"/>
    <w:rsid w:val="06D86211"/>
    <w:rsid w:val="0816DBFA"/>
    <w:rsid w:val="0FC05634"/>
    <w:rsid w:val="140D8B43"/>
    <w:rsid w:val="1ED1E809"/>
    <w:rsid w:val="21168E5E"/>
    <w:rsid w:val="22A6243D"/>
    <w:rsid w:val="2A231ACF"/>
    <w:rsid w:val="2AD88626"/>
    <w:rsid w:val="30EEAD3A"/>
    <w:rsid w:val="34BCDD21"/>
    <w:rsid w:val="352B1ABA"/>
    <w:rsid w:val="373D049D"/>
    <w:rsid w:val="38491B4F"/>
    <w:rsid w:val="3CBEA27F"/>
    <w:rsid w:val="41E125F2"/>
    <w:rsid w:val="47716B56"/>
    <w:rsid w:val="511CD199"/>
    <w:rsid w:val="5300263E"/>
    <w:rsid w:val="55FE1077"/>
    <w:rsid w:val="58799569"/>
    <w:rsid w:val="5B6E9621"/>
    <w:rsid w:val="5D3F9DC3"/>
    <w:rsid w:val="64AFE2A8"/>
    <w:rsid w:val="654FAD8C"/>
    <w:rsid w:val="68465C74"/>
    <w:rsid w:val="6AF19540"/>
    <w:rsid w:val="709986F9"/>
    <w:rsid w:val="72DC020D"/>
    <w:rsid w:val="758D7258"/>
    <w:rsid w:val="769A85DD"/>
    <w:rsid w:val="784B549C"/>
    <w:rsid w:val="7D2792E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798"/>
  <w15:chartTrackingRefBased/>
  <w15:docId w15:val="{DB1C4F7B-E25A-4A88-B403-556297CA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80083"/>
    <w:pPr>
      <w:outlineLvl w:val="0"/>
    </w:pPr>
    <w:rPr>
      <w:rFonts w:ascii="Aptos" w:eastAsia="Aptos" w:hAnsi="Aptos" w:cs="Aptos"/>
      <w:b/>
      <w:bCs/>
    </w:rPr>
  </w:style>
  <w:style w:type="paragraph" w:styleId="Titre2">
    <w:name w:val="heading 2"/>
    <w:basedOn w:val="Normal"/>
    <w:next w:val="Normal"/>
    <w:link w:val="Titre2Car"/>
    <w:uiPriority w:val="9"/>
    <w:semiHidden/>
    <w:unhideWhenUsed/>
    <w:qFormat/>
    <w:rsid w:val="00CE05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E055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E055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E055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E055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E055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E055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E055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0083"/>
    <w:rPr>
      <w:rFonts w:ascii="Aptos" w:eastAsia="Aptos" w:hAnsi="Aptos" w:cs="Aptos"/>
      <w:b/>
      <w:bCs/>
    </w:rPr>
  </w:style>
  <w:style w:type="character" w:customStyle="1" w:styleId="Titre2Car">
    <w:name w:val="Titre 2 Car"/>
    <w:basedOn w:val="Policepardfaut"/>
    <w:link w:val="Titre2"/>
    <w:uiPriority w:val="9"/>
    <w:semiHidden/>
    <w:rsid w:val="00CE055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E055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E055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E055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E055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E055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E055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E055B"/>
    <w:rPr>
      <w:rFonts w:eastAsiaTheme="majorEastAsia" w:cstheme="majorBidi"/>
      <w:color w:val="272727" w:themeColor="text1" w:themeTint="D8"/>
    </w:rPr>
  </w:style>
  <w:style w:type="paragraph" w:styleId="Titre">
    <w:name w:val="Title"/>
    <w:basedOn w:val="Normal"/>
    <w:next w:val="Normal"/>
    <w:link w:val="TitreCar"/>
    <w:uiPriority w:val="10"/>
    <w:qFormat/>
    <w:rsid w:val="00C65E74"/>
    <w:pPr>
      <w:spacing w:after="80" w:line="240" w:lineRule="auto"/>
      <w:contextualSpacing/>
      <w:jc w:val="center"/>
    </w:pPr>
    <w:rPr>
      <w:rFonts w:asciiTheme="majorHAnsi" w:eastAsiaTheme="majorEastAsia" w:hAnsiTheme="majorHAnsi" w:cstheme="majorBidi"/>
      <w:b/>
      <w:color w:val="215E99" w:themeColor="text2" w:themeTint="BF"/>
      <w:spacing w:val="-10"/>
      <w:kern w:val="28"/>
      <w:sz w:val="56"/>
      <w:szCs w:val="56"/>
    </w:rPr>
  </w:style>
  <w:style w:type="character" w:customStyle="1" w:styleId="TitreCar">
    <w:name w:val="Titre Car"/>
    <w:basedOn w:val="Policepardfaut"/>
    <w:link w:val="Titre"/>
    <w:uiPriority w:val="10"/>
    <w:rsid w:val="00C65E74"/>
    <w:rPr>
      <w:rFonts w:asciiTheme="majorHAnsi" w:eastAsiaTheme="majorEastAsia" w:hAnsiTheme="majorHAnsi" w:cstheme="majorBidi"/>
      <w:b/>
      <w:color w:val="215E99" w:themeColor="text2" w:themeTint="BF"/>
      <w:spacing w:val="-10"/>
      <w:kern w:val="28"/>
      <w:sz w:val="56"/>
      <w:szCs w:val="56"/>
    </w:rPr>
  </w:style>
  <w:style w:type="paragraph" w:styleId="Sous-titre">
    <w:name w:val="Subtitle"/>
    <w:basedOn w:val="Normal"/>
    <w:next w:val="Normal"/>
    <w:link w:val="Sous-titreCar"/>
    <w:uiPriority w:val="11"/>
    <w:qFormat/>
    <w:rsid w:val="00C65E74"/>
    <w:pPr>
      <w:numPr>
        <w:ilvl w:val="1"/>
      </w:numPr>
      <w:jc w:val="cente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65E7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E055B"/>
    <w:pPr>
      <w:spacing w:before="160"/>
      <w:jc w:val="center"/>
    </w:pPr>
    <w:rPr>
      <w:i/>
      <w:iCs/>
      <w:color w:val="404040" w:themeColor="text1" w:themeTint="BF"/>
    </w:rPr>
  </w:style>
  <w:style w:type="character" w:customStyle="1" w:styleId="CitationCar">
    <w:name w:val="Citation Car"/>
    <w:basedOn w:val="Policepardfaut"/>
    <w:link w:val="Citation"/>
    <w:uiPriority w:val="29"/>
    <w:rsid w:val="00CE055B"/>
    <w:rPr>
      <w:i/>
      <w:iCs/>
      <w:color w:val="404040" w:themeColor="text1" w:themeTint="BF"/>
    </w:rPr>
  </w:style>
  <w:style w:type="paragraph" w:styleId="Paragraphedeliste">
    <w:name w:val="List Paragraph"/>
    <w:basedOn w:val="Normal"/>
    <w:uiPriority w:val="34"/>
    <w:qFormat/>
    <w:rsid w:val="00CE055B"/>
    <w:pPr>
      <w:ind w:left="720"/>
      <w:contextualSpacing/>
    </w:pPr>
  </w:style>
  <w:style w:type="character" w:styleId="Accentuationintense">
    <w:name w:val="Intense Emphasis"/>
    <w:basedOn w:val="Policepardfaut"/>
    <w:uiPriority w:val="21"/>
    <w:qFormat/>
    <w:rsid w:val="00CE055B"/>
    <w:rPr>
      <w:i/>
      <w:iCs/>
      <w:color w:val="0F4761" w:themeColor="accent1" w:themeShade="BF"/>
    </w:rPr>
  </w:style>
  <w:style w:type="paragraph" w:styleId="Citationintense">
    <w:name w:val="Intense Quote"/>
    <w:basedOn w:val="Normal"/>
    <w:next w:val="Normal"/>
    <w:link w:val="CitationintenseCar"/>
    <w:uiPriority w:val="30"/>
    <w:qFormat/>
    <w:rsid w:val="00CE05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E055B"/>
    <w:rPr>
      <w:i/>
      <w:iCs/>
      <w:color w:val="0F4761" w:themeColor="accent1" w:themeShade="BF"/>
    </w:rPr>
  </w:style>
  <w:style w:type="character" w:styleId="Rfrenceintense">
    <w:name w:val="Intense Reference"/>
    <w:basedOn w:val="Policepardfaut"/>
    <w:uiPriority w:val="32"/>
    <w:qFormat/>
    <w:rsid w:val="00CE055B"/>
    <w:rPr>
      <w:b/>
      <w:bCs/>
      <w:smallCaps/>
      <w:color w:val="0F4761" w:themeColor="accent1" w:themeShade="BF"/>
      <w:spacing w:val="5"/>
    </w:rPr>
  </w:style>
  <w:style w:type="character" w:styleId="Lienhypertexte">
    <w:name w:val="Hyperlink"/>
    <w:basedOn w:val="Policepardfaut"/>
    <w:uiPriority w:val="99"/>
    <w:unhideWhenUsed/>
    <w:rsid w:val="0043492B"/>
    <w:rPr>
      <w:color w:val="467886" w:themeColor="hyperlink"/>
      <w:u w:val="single"/>
    </w:rPr>
  </w:style>
  <w:style w:type="character" w:styleId="Mentionnonrsolue">
    <w:name w:val="Unresolved Mention"/>
    <w:basedOn w:val="Policepardfaut"/>
    <w:uiPriority w:val="99"/>
    <w:semiHidden/>
    <w:unhideWhenUsed/>
    <w:rsid w:val="0043492B"/>
    <w:rPr>
      <w:color w:val="605E5C"/>
      <w:shd w:val="clear" w:color="auto" w:fill="E1DFDD"/>
    </w:rPr>
  </w:style>
  <w:style w:type="character" w:styleId="Lienhypertextesuivivisit">
    <w:name w:val="FollowedHyperlink"/>
    <w:basedOn w:val="Policepardfaut"/>
    <w:uiPriority w:val="99"/>
    <w:semiHidden/>
    <w:unhideWhenUsed/>
    <w:rsid w:val="004F79D4"/>
    <w:rPr>
      <w:color w:val="96607D" w:themeColor="followedHyperlink"/>
      <w:u w:val="single"/>
    </w:rPr>
  </w:style>
  <w:style w:type="paragraph" w:styleId="En-tte">
    <w:name w:val="header"/>
    <w:basedOn w:val="Normal"/>
    <w:link w:val="En-tteCar"/>
    <w:uiPriority w:val="99"/>
    <w:unhideWhenUsed/>
    <w:rsid w:val="00975938"/>
    <w:pPr>
      <w:tabs>
        <w:tab w:val="center" w:pos="4536"/>
        <w:tab w:val="right" w:pos="9072"/>
      </w:tabs>
      <w:spacing w:after="0" w:line="240" w:lineRule="auto"/>
    </w:pPr>
  </w:style>
  <w:style w:type="character" w:customStyle="1" w:styleId="En-tteCar">
    <w:name w:val="En-tête Car"/>
    <w:basedOn w:val="Policepardfaut"/>
    <w:link w:val="En-tte"/>
    <w:uiPriority w:val="99"/>
    <w:rsid w:val="00975938"/>
  </w:style>
  <w:style w:type="paragraph" w:styleId="Pieddepage">
    <w:name w:val="footer"/>
    <w:basedOn w:val="Normal"/>
    <w:link w:val="PieddepageCar"/>
    <w:uiPriority w:val="99"/>
    <w:unhideWhenUsed/>
    <w:rsid w:val="009759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5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mg.static-rmg.be/a/pdf/6995456/accord-de-gouvernement-arizona-declaration-du-formateur-pdf.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img.static-rmg.be/a/pdf/6995456/accord-de-gouvernement-arizona-declaration-du-formateur-pdf.pdf" TargetMode="External"/><Relationship Id="rId17" Type="http://schemas.openxmlformats.org/officeDocument/2006/relationships/hyperlink" Target="https://img.static-rmg.be/a/pdf/6995456/accord-de-gouvernement-arizona-declaration-du-formateur-pdf.pdf" TargetMode="External"/><Relationship Id="rId2" Type="http://schemas.openxmlformats.org/officeDocument/2006/relationships/customXml" Target="../customXml/item2.xml"/><Relationship Id="rId16" Type="http://schemas.openxmlformats.org/officeDocument/2006/relationships/hyperlink" Target="https://img.static-rmg.be/a/pdf/6995456/accord-de-gouvernement-arizona-declaration-du-formateur-pdf.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g.static-rmg.be/a/pdf/6995456/accord-de-gouvernement-arizona-declaration-du-formateur-pdf.pdf" TargetMode="External"/><Relationship Id="rId5" Type="http://schemas.openxmlformats.org/officeDocument/2006/relationships/styles" Target="styles.xml"/><Relationship Id="rId15" Type="http://schemas.openxmlformats.org/officeDocument/2006/relationships/hyperlink" Target="https://img.static-rmg.be/a/pdf/6995456/accord-de-gouvernement-arizona-declaration-du-formateur-pdf.pdf" TargetMode="External"/><Relationship Id="rId10" Type="http://schemas.openxmlformats.org/officeDocument/2006/relationships/hyperlink" Target="https://img.static-rmg.be/a/pdf/6995456/accord-de-gouvernement-arizona-declaration-du-formateur-pdf.pdf"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mg.static-rmg.be/a/pdf/6995456/accord-de-gouvernement-arizona-declaration-du-formateur-pdf.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5CA96547F23F4E8ED8D7BE7B36DB3F" ma:contentTypeVersion="18" ma:contentTypeDescription="Crée un document." ma:contentTypeScope="" ma:versionID="07d5d768ec1135086d06eed7945ad2b9">
  <xsd:schema xmlns:xsd="http://www.w3.org/2001/XMLSchema" xmlns:xs="http://www.w3.org/2001/XMLSchema" xmlns:p="http://schemas.microsoft.com/office/2006/metadata/properties" xmlns:ns2="96fcf51b-f604-48dc-b155-d6b681acfab1" xmlns:ns3="2b0a04c0-178a-494c-a5cf-74af97a8eb20" targetNamespace="http://schemas.microsoft.com/office/2006/metadata/properties" ma:root="true" ma:fieldsID="4bf2d1649af3bfdf8973c8edb56ec309" ns2:_="" ns3:_="">
    <xsd:import namespace="96fcf51b-f604-48dc-b155-d6b681acfab1"/>
    <xsd:import namespace="2b0a04c0-178a-494c-a5cf-74af97a8eb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cf51b-f604-48dc-b155-d6b681acf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08f5a576-6d30-4b09-86db-a077ceb514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0a04c0-178a-494c-a5cf-74af97a8eb2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1741791-8978-443c-86a6-8a52979ad443}" ma:internalName="TaxCatchAll" ma:showField="CatchAllData" ma:web="2b0a04c0-178a-494c-a5cf-74af97a8eb2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fcf51b-f604-48dc-b155-d6b681acfab1">
      <Terms xmlns="http://schemas.microsoft.com/office/infopath/2007/PartnerControls"/>
    </lcf76f155ced4ddcb4097134ff3c332f>
    <TaxCatchAll xmlns="2b0a04c0-178a-494c-a5cf-74af97a8eb20" xsi:nil="true"/>
  </documentManagement>
</p:properties>
</file>

<file path=customXml/itemProps1.xml><?xml version="1.0" encoding="utf-8"?>
<ds:datastoreItem xmlns:ds="http://schemas.openxmlformats.org/officeDocument/2006/customXml" ds:itemID="{C2C06F74-7E22-43F7-8E07-1C7E285094BB}"/>
</file>

<file path=customXml/itemProps2.xml><?xml version="1.0" encoding="utf-8"?>
<ds:datastoreItem xmlns:ds="http://schemas.openxmlformats.org/officeDocument/2006/customXml" ds:itemID="{4C2BA3EB-6246-47CF-96E2-8F3189ECD13F}">
  <ds:schemaRefs>
    <ds:schemaRef ds:uri="http://schemas.microsoft.com/sharepoint/v3/contenttype/forms"/>
  </ds:schemaRefs>
</ds:datastoreItem>
</file>

<file path=customXml/itemProps3.xml><?xml version="1.0" encoding="utf-8"?>
<ds:datastoreItem xmlns:ds="http://schemas.openxmlformats.org/officeDocument/2006/customXml" ds:itemID="{7C145F7C-7D41-4682-ADA1-12DE502A47FD}">
  <ds:schemaRefs>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96fcf51b-f604-48dc-b155-d6b681acfab1"/>
    <ds:schemaRef ds:uri="http://schemas.openxmlformats.org/package/2006/metadata/core-properties"/>
    <ds:schemaRef ds:uri="2b0a04c0-178a-494c-a5cf-74af97a8eb2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1219</Words>
  <Characters>6710</Characters>
  <Application>Microsoft Office Word</Application>
  <DocSecurity>0</DocSecurity>
  <Lines>55</Lines>
  <Paragraphs>15</Paragraphs>
  <ScaleCrop>false</ScaleCrop>
  <Company/>
  <LinksUpToDate>false</LinksUpToDate>
  <CharactersWithSpaces>7914</CharactersWithSpaces>
  <SharedDoc>false</SharedDoc>
  <HLinks>
    <vt:vector size="48" baseType="variant">
      <vt:variant>
        <vt:i4>6946876</vt:i4>
      </vt:variant>
      <vt:variant>
        <vt:i4>21</vt:i4>
      </vt:variant>
      <vt:variant>
        <vt:i4>0</vt:i4>
      </vt:variant>
      <vt:variant>
        <vt:i4>5</vt:i4>
      </vt:variant>
      <vt:variant>
        <vt:lpwstr>https://img.static-rmg.be/a/pdf/6995456/accord-de-gouvernement-arizona-declaration-du-formateur-pdf.pdf</vt:lpwstr>
      </vt:variant>
      <vt:variant>
        <vt:lpwstr/>
      </vt:variant>
      <vt:variant>
        <vt:i4>6946876</vt:i4>
      </vt:variant>
      <vt:variant>
        <vt:i4>18</vt:i4>
      </vt:variant>
      <vt:variant>
        <vt:i4>0</vt:i4>
      </vt:variant>
      <vt:variant>
        <vt:i4>5</vt:i4>
      </vt:variant>
      <vt:variant>
        <vt:lpwstr>https://img.static-rmg.be/a/pdf/6995456/accord-de-gouvernement-arizona-declaration-du-formateur-pdf.pdf</vt:lpwstr>
      </vt:variant>
      <vt:variant>
        <vt:lpwstr/>
      </vt:variant>
      <vt:variant>
        <vt:i4>6946876</vt:i4>
      </vt:variant>
      <vt:variant>
        <vt:i4>15</vt:i4>
      </vt:variant>
      <vt:variant>
        <vt:i4>0</vt:i4>
      </vt:variant>
      <vt:variant>
        <vt:i4>5</vt:i4>
      </vt:variant>
      <vt:variant>
        <vt:lpwstr>https://img.static-rmg.be/a/pdf/6995456/accord-de-gouvernement-arizona-declaration-du-formateur-pdf.pdf</vt:lpwstr>
      </vt:variant>
      <vt:variant>
        <vt:lpwstr/>
      </vt:variant>
      <vt:variant>
        <vt:i4>5636118</vt:i4>
      </vt:variant>
      <vt:variant>
        <vt:i4>12</vt:i4>
      </vt:variant>
      <vt:variant>
        <vt:i4>0</vt:i4>
      </vt:variant>
      <vt:variant>
        <vt:i4>5</vt:i4>
      </vt:variant>
      <vt:variant>
        <vt:lpwstr>https://img.static-rmg.be/a/pdf/6995456/accord-de-gouvernement-arizona-declaration-du-formateur-pdf.pdf</vt:lpwstr>
      </vt:variant>
      <vt:variant>
        <vt:lpwstr>page=85</vt:lpwstr>
      </vt:variant>
      <vt:variant>
        <vt:i4>5832726</vt:i4>
      </vt:variant>
      <vt:variant>
        <vt:i4>9</vt:i4>
      </vt:variant>
      <vt:variant>
        <vt:i4>0</vt:i4>
      </vt:variant>
      <vt:variant>
        <vt:i4>5</vt:i4>
      </vt:variant>
      <vt:variant>
        <vt:lpwstr>https://img.static-rmg.be/a/pdf/6995456/accord-de-gouvernement-arizona-declaration-du-formateur-pdf.pdf</vt:lpwstr>
      </vt:variant>
      <vt:variant>
        <vt:lpwstr>page=77</vt:lpwstr>
      </vt:variant>
      <vt:variant>
        <vt:i4>6946876</vt:i4>
      </vt:variant>
      <vt:variant>
        <vt:i4>6</vt:i4>
      </vt:variant>
      <vt:variant>
        <vt:i4>0</vt:i4>
      </vt:variant>
      <vt:variant>
        <vt:i4>5</vt:i4>
      </vt:variant>
      <vt:variant>
        <vt:lpwstr>https://img.static-rmg.be/a/pdf/6995456/accord-de-gouvernement-arizona-declaration-du-formateur-pdf.pdf</vt:lpwstr>
      </vt:variant>
      <vt:variant>
        <vt:lpwstr/>
      </vt:variant>
      <vt:variant>
        <vt:i4>6946876</vt:i4>
      </vt:variant>
      <vt:variant>
        <vt:i4>3</vt:i4>
      </vt:variant>
      <vt:variant>
        <vt:i4>0</vt:i4>
      </vt:variant>
      <vt:variant>
        <vt:i4>5</vt:i4>
      </vt:variant>
      <vt:variant>
        <vt:lpwstr>https://img.static-rmg.be/a/pdf/6995456/accord-de-gouvernement-arizona-declaration-du-formateur-pdf.pdf</vt:lpwstr>
      </vt:variant>
      <vt:variant>
        <vt:lpwstr/>
      </vt:variant>
      <vt:variant>
        <vt:i4>6946876</vt:i4>
      </vt:variant>
      <vt:variant>
        <vt:i4>0</vt:i4>
      </vt:variant>
      <vt:variant>
        <vt:i4>0</vt:i4>
      </vt:variant>
      <vt:variant>
        <vt:i4>5</vt:i4>
      </vt:variant>
      <vt:variant>
        <vt:lpwstr>https://img.static-rmg.be/a/pdf/6995456/accord-de-gouvernement-arizona-declaration-du-formateur-pdf.pdf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Angelo</dc:creator>
  <cp:keywords/>
  <dc:description/>
  <cp:lastModifiedBy>Mathieu Angelo</cp:lastModifiedBy>
  <cp:revision>2</cp:revision>
  <dcterms:created xsi:type="dcterms:W3CDTF">2025-03-19T10:02:00Z</dcterms:created>
  <dcterms:modified xsi:type="dcterms:W3CDTF">2025-03-19T10:02:00Z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0x010100115CA96547F23F4E8ED8D7BE7B36DB3F</vt:lpwstr>
  </property>
  <property fmtid="{D5CDD505-2E9C-101B-9397-08002B2CF9AE}" pid="3" name="MediaServiceImageTags">
    <vt:lpwstr/>
  </property>
</Properties>
</file>